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30"/>
    <w:p>
      <w:pPr>
        <w:pStyle w:val="Heading1"/>
      </w:pPr>
      <w:r>
        <w:t xml:space="preserve">Homiletics Analysis: Isaiah 30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30 is a sustained prophetic indictment of Judah’s decision to seek a military alliance with Egypt against the Assyrian threat, set against the broader context of Isaiah’s Assyrian crisis material (chapters 28–33). The chapter opens with a direct divine verdict: Judah’s embassy to Egypt is an act of rebellion against the LORD, a plan executed without divine consultation (vv. 1–2). The Egyptian alliance will prove not merely useless but shameful — Egypt, the</w:t>
      </w:r>
      <w:r>
        <w:t xml:space="preserve"> </w:t>
      </w:r>
      <w:r>
        <w:t xml:space="preserve">“Rahab who sits still,”</w:t>
      </w:r>
      <w:r>
        <w:t xml:space="preserve"> </w:t>
      </w:r>
      <w:r>
        <w:t xml:space="preserve">will offer nothing but disgrace (vv. 3–7). God commands Isaiah to inscribe the indictment permanently, because this generation has rejected the prophetic word and demanded comfortable lies instead (vv. 8–11). The consequence is announced in terms of structural collapse — the sin of rejecting God for a human resource will shatter suddenly and completely (vv. 12–14). The pivot of the entire chapter comes in verses 15–17: the LORD had offered rest and quietness, but Judah refused, demanding horses and flight instead. The remainder of the chapter (vv. 18–26) pivots dramatically to future grace — the LORD</w:t>
      </w:r>
      <w:r>
        <w:t xml:space="preserve"> </w:t>
      </w:r>
      <w:r>
        <w:rPr>
          <w:i/>
          <w:iCs/>
        </w:rPr>
        <w:t xml:space="preserve">waits</w:t>
      </w:r>
      <w:r>
        <w:t xml:space="preserve"> </w:t>
      </w:r>
      <w:r>
        <w:t xml:space="preserve">to be gracious; He will hear the cry of His people; He will remove their idols; He will restore and heal abundantly. The chapter closes with an apocalyptic finale (vv. 27–33) — the LORD Himself will come in burning wrath against the nations, and Assyria will be consumed as on a Topheth fire.</w:t>
      </w:r>
    </w:p>
    <w:p>
      <w:pPr>
        <w:pStyle w:val="BodyText"/>
      </w:pPr>
      <w:r>
        <w:rPr>
          <w:b/>
          <w:bCs/>
        </w:rPr>
        <w:t xml:space="preserve">This Text — Intent</w:t>
      </w:r>
    </w:p>
    <w:p>
      <w:pPr>
        <w:pStyle w:val="BodyText"/>
      </w:pPr>
      <w:r>
        <w:t xml:space="preserve">God is seeking to expose the profound irony of His people’s unbelief: they have fled from safety into danger, from rest into exhaustion, from the only One who could help them to the one who will shame them. The intent is not merely to inform Judah of strategic miscalculation — it is to break the spell of false security and restore the posture of faith. God is simultaneously prosecuting the case against self-sufficient unbelief and extending — with remarkable tenderness — an invitation to return. The cluster around verse 15 is the rhetorical and theological center:</w:t>
      </w:r>
      <w:r>
        <w:t xml:space="preserve"> </w:t>
      </w:r>
      <w:r>
        <w:rPr>
          <w:i/>
          <w:iCs/>
        </w:rPr>
        <w:t xml:space="preserve">“In returning and rest you shall be saved; in quietness and trust shall be your strength.”</w:t>
      </w:r>
      <w:r>
        <w:t xml:space="preserve"> </w:t>
      </w:r>
      <w:r>
        <w:t xml:space="preserve">God intends for the reader to see that the very thing Judah abandoned was the only thing that could have saved her, and that — despite the rejection — He still waits to be gracious (v. 18).</w:t>
      </w:r>
    </w:p>
    <w:p>
      <w:r>
        <w:pict>
          <v:rect style="width:0;height:1.5pt" o:hralign="center" o:hrstd="t" o:hr="t"/>
        </w:pict>
      </w:r>
    </w:p>
    <w:p>
      <w:pPr>
        <w:pStyle w:val="FirstParagraph"/>
      </w:pPr>
      <w:r>
        <w:rPr>
          <w:b/>
          <w:bCs/>
        </w:rPr>
        <w:t xml:space="preserve">Subject Sentence:</w:t>
      </w:r>
      <w:r>
        <w:t xml:space="preserve"> </w:t>
      </w:r>
      <w:r>
        <w:t xml:space="preserve">Judah’s flight to Egypt for security exposes the fatal folly of trading God’s rest for human resources.</w:t>
      </w:r>
    </w:p>
    <w:p>
      <w:r>
        <w:pict>
          <v:rect style="width:0;height:1.5pt" o:hralign="center" o:hrstd="t" o:hr="t"/>
        </w:pict>
      </w:r>
    </w:p>
    <w:p>
      <w:pPr>
        <w:pStyle w:val="FirstParagraph"/>
      </w:pPr>
      <w:r>
        <w:rPr>
          <w:b/>
          <w:bCs/>
        </w:rPr>
        <w:t xml:space="preserve">Primary Claim:</w:t>
      </w:r>
      <w:r>
        <w:t xml:space="preserve"> </w:t>
      </w:r>
      <w:r>
        <w:t xml:space="preserve">God is confronting His people with the devastating irony that their frantic search for security is itself the source of their ruin — and calling them back to the rest, trust, and quietness that only He provides, which He still freely offers to all who will return.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Historical-Referential Question: Literal Judah or Typological Template?</w:t>
      </w:r>
    </w:p>
    <w:p>
      <w:pPr>
        <w:pStyle w:val="BodyText"/>
      </w:pPr>
      <w:r>
        <w:t xml:space="preserve">The primary hermeneutical question is whether this chapter addresses only the historical situation of Hezekiah’s Judah circa 701 BC, or whether it also functions typologically — as a canonical template for the posture of every covenant community facing threat. Most evangelical traditions read the chapter as directly historical but with typological force: the specific alliance with Egypt becomes the paradigm case of seeking human security in place of God. This is the Reformed reading, and the text supports it: the permanence of the inscribed indictment (v. 8 —</w:t>
      </w:r>
      <w:r>
        <w:t xml:space="preserve"> </w:t>
      </w:r>
      <w:r>
        <w:t xml:space="preserve">“write it before them on a tablet and inscribe it in a book, that it may be for the time to come as a witness forever”</w:t>
      </w:r>
      <w:r>
        <w:t xml:space="preserve">) signals that God intends this indictment to function beyond the immediate occasion.</w:t>
      </w:r>
      <w:r>
        <w:t xml:space="preserve"> </w:t>
      </w:r>
      <w:r>
        <w:rPr>
          <w:b/>
          <w:bCs/>
        </w:rPr>
        <w:t xml:space="preserve">Verdict: The text itself demands typological application; this is not an imposition on the historical material.</w:t>
      </w:r>
    </w:p>
    <w:p>
      <w:pPr>
        <w:pStyle w:val="BodyText"/>
      </w:pPr>
      <w:r>
        <w:rPr>
          <w:b/>
          <w:bCs/>
        </w:rPr>
        <w:t xml:space="preserve">Verses 19–26: Immediate Return or Eschatological Restoration?</w:t>
      </w:r>
    </w:p>
    <w:p>
      <w:pPr>
        <w:pStyle w:val="BodyText"/>
      </w:pPr>
      <w:r>
        <w:t xml:space="preserve">Dispensational interpreters often assign the restoration material in verses 19–26 exclusively to a future millennial kingdom — a literal Israel receiving literal material blessings after the Tribulation. The vivid imagery (v. 23 — abundant rain, fertile ground; v. 25 — streams of water; v. 26 — sevenfold light) is taken as a precise blueprint for millennial conditions. The Reformed and covenant-theological reading understands these as covenant-restoration language: the form is phenomenological and poetic, the substance is the renewed covenant blessing flowing from return to the LORD. This restoration begins in partial measure whenever God’s people return to Him in faith and finds its ultimate consummation in the new creation.</w:t>
      </w:r>
      <w:r>
        <w:t xml:space="preserve"> </w:t>
      </w:r>
      <w:r>
        <w:rPr>
          <w:b/>
          <w:bCs/>
        </w:rPr>
        <w:t xml:space="preserve">The Reformed reading should be preferred</w:t>
      </w:r>
      <w:r>
        <w:t xml:space="preserve"> </w:t>
      </w:r>
      <w:r>
        <w:t xml:space="preserve">for two reasons: (1) the immediate context is not eschatological but responsive — the restoration is offered as the consequence of return in verse 19 (</w:t>
      </w:r>
      <w:r>
        <w:t xml:space="preserve">“He will surely be gracious to you at the sound of your cry”</w:t>
      </w:r>
      <w:r>
        <w:t xml:space="preserve">), tying it to repentance rather than a future calendar; (2) the imagery pattern matches the covenant blessing/curse structure of Deuteronomy, not a prophetic chronology of end-times events.</w:t>
      </w:r>
      <w:r>
        <w:t xml:space="preserve"> </w:t>
      </w:r>
      <w:r>
        <w:rPr>
          <w:b/>
          <w:bCs/>
        </w:rPr>
        <w:t xml:space="preserve">Qualification</w:t>
      </w:r>
      <w:r>
        <w:t xml:space="preserve">: the dispensational instinct to see genuine future fulfillment is not wrong — this passage, like much covenant-restoration prophecy, has an already/not-yet shape. But collapsing it into purely future/millennial categories evacuates its immediate pastoral force.</w:t>
      </w:r>
    </w:p>
    <w:p>
      <w:pPr>
        <w:pStyle w:val="BodyText"/>
      </w:pPr>
      <w:r>
        <w:rPr>
          <w:b/>
          <w:bCs/>
        </w:rPr>
        <w:t xml:space="preserve">Verse 15 and the Nature of</w:t>
      </w:r>
      <w:r>
        <w:rPr>
          <w:b/>
          <w:bCs/>
        </w:rPr>
        <w:t xml:space="preserve"> </w:t>
      </w:r>
      <w:r>
        <w:rPr>
          <w:b/>
          <w:bCs/>
        </w:rPr>
        <w:t xml:space="preserve">“Rest and Quietness”</w:t>
      </w:r>
      <w:r>
        <w:rPr>
          <w:b/>
          <w:bCs/>
        </w:rPr>
        <w:t xml:space="preserve">: Quietism or Active Faith?</w:t>
      </w:r>
    </w:p>
    <w:p>
      <w:pPr>
        <w:pStyle w:val="BodyText"/>
      </w:pPr>
      <w:r>
        <w:t xml:space="preserve">Some Wesleyan and pietist interpreters have read verse 15 as a call to passive spiritual quietism — a kind of contemplative withdrawal from engagement. This misreads the covenantal-political context.</w:t>
      </w:r>
      <w:r>
        <w:t xml:space="preserve"> </w:t>
      </w:r>
      <w:r>
        <w:t xml:space="preserve">“Returning and rest”</w:t>
      </w:r>
      <w:r>
        <w:t xml:space="preserve"> </w:t>
      </w:r>
      <w:r>
        <w:t xml:space="preserve">(</w:t>
      </w:r>
      <w:r>
        <w:rPr>
          <w:i/>
          <w:iCs/>
        </w:rPr>
        <w:t xml:space="preserve">shûbâh wĕnaḥat</w:t>
      </w:r>
      <w:r>
        <w:t xml:space="preserve">) means returning to the LORD from the false alliance and trusting in His governance rather than in cavalry. It is the opposite of quietism: it is the most demanding kind of faith — the faith that holds still when every strategic instinct demands action.</w:t>
      </w:r>
      <w:r>
        <w:t xml:space="preserve"> </w:t>
      </w:r>
      <w:r>
        <w:rPr>
          <w:b/>
          <w:bCs/>
        </w:rPr>
        <w:t xml:space="preserve">Verdict: Acknowledge</w:t>
      </w:r>
      <w:r>
        <w:t xml:space="preserve"> </w:t>
      </w:r>
      <w:r>
        <w:t xml:space="preserve">the pietist instinct that verse 15 calls for a certain quality of interior trust, but</w:t>
      </w:r>
      <w:r>
        <w:t xml:space="preserve"> </w:t>
      </w:r>
      <w:r>
        <w:rPr>
          <w:b/>
          <w:bCs/>
        </w:rPr>
        <w:t xml:space="preserve">qualify</w:t>
      </w:r>
      <w:r>
        <w:t xml:space="preserve"> </w:t>
      </w:r>
      <w:r>
        <w:t xml:space="preserve">by restoring the covenantal-political framing: this is not withdrawal from life; it is the refusal to leverage human power in place of divine provision.</w:t>
      </w:r>
    </w:p>
    <w:p>
      <w:pPr>
        <w:pStyle w:val="BodyText"/>
      </w:pPr>
      <w:r>
        <w:rPr>
          <w:b/>
          <w:bCs/>
        </w:rPr>
        <w:t xml:space="preserve">Verses 27–33: The LORD Coming Against Assyria — Christological Reading?</w:t>
      </w:r>
    </w:p>
    <w:p>
      <w:pPr>
        <w:pStyle w:val="BodyText"/>
      </w:pPr>
      <w:r>
        <w:t xml:space="preserve">Some Reformed interpreters read the theophany of verses 27–33 as a Christological anticipation — the LORD coming in burning judgment prefiguring the final judgment executed by Christ. This is a legitimate application of the canonical pattern (the</w:t>
      </w:r>
      <w:r>
        <w:t xml:space="preserve"> </w:t>
      </w:r>
      <w:r>
        <w:t xml:space="preserve">“Day of the LORD”</w:t>
      </w:r>
      <w:r>
        <w:t xml:space="preserve"> </w:t>
      </w:r>
      <w:r>
        <w:t xml:space="preserve">theology) but should not be pressed as the passage’s primary meaning. The primary referent is the historical defeat of Sennacherib’s army, which Isaiah elsewhere connects to this period (Isaiah 37:36–37). The eschatological resonance is real but secondary.</w:t>
      </w:r>
      <w:r>
        <w:t xml:space="preserve"> </w:t>
      </w:r>
      <w:r>
        <w:rPr>
          <w:b/>
          <w:bCs/>
        </w:rPr>
        <w:t xml:space="preserve">Verdict: Acknowledge the typological reading; do not make it the expository center.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31:1</w:t>
      </w:r>
      <w:r>
        <w:t xml:space="preserve"> </w:t>
      </w:r>
      <w:r>
        <w:t xml:space="preserve">—</w:t>
      </w:r>
      <w:r>
        <w:t xml:space="preserve"> </w:t>
      </w:r>
      <w:r>
        <w:rPr>
          <w:i/>
          <w:iCs/>
        </w:rPr>
        <w:t xml:space="preserve">“Woe to those who go down to Egypt for help and rely on horses, who trust in chariots because they are many and in horsemen because they are very strong, but do not look to the Holy One of Israel or consult the LORD.”</w:t>
      </w:r>
      <w:r>
        <w:t xml:space="preserve"> </w:t>
      </w:r>
      <w:r>
        <w:t xml:space="preserve">— The immediate companion passage sharpening the same indictment: the sin is not military planning per se but looking</w:t>
      </w:r>
      <w:r>
        <w:t xml:space="preserve"> </w:t>
      </w:r>
      <w:r>
        <w:rPr>
          <w:i/>
          <w:iCs/>
        </w:rPr>
        <w:t xml:space="preserve">down</w:t>
      </w:r>
      <w:r>
        <w:t xml:space="preserve"> </w:t>
      </w:r>
      <w:r>
        <w:t xml:space="preserve">to human resources while failing to look</w:t>
      </w:r>
      <w:r>
        <w:t xml:space="preserve"> </w:t>
      </w:r>
      <w:r>
        <w:rPr>
          <w:i/>
          <w:iCs/>
        </w:rPr>
        <w:t xml:space="preserve">up</w:t>
      </w:r>
      <w:r>
        <w:t xml:space="preserve"> </w:t>
      </w:r>
      <w:r>
        <w:t xml:space="preserve">to God.</w:t>
      </w:r>
    </w:p>
    <w:p>
      <w:pPr>
        <w:numPr>
          <w:ilvl w:val="0"/>
          <w:numId w:val="1001"/>
        </w:numPr>
      </w:pPr>
      <w:r>
        <w:rPr>
          <w:b/>
          <w:bCs/>
        </w:rPr>
        <w:t xml:space="preserve">Psalm 20:7</w:t>
      </w:r>
      <w:r>
        <w:t xml:space="preserve"> </w:t>
      </w:r>
      <w:r>
        <w:t xml:space="preserve">—</w:t>
      </w:r>
      <w:r>
        <w:t xml:space="preserve"> </w:t>
      </w:r>
      <w:r>
        <w:rPr>
          <w:i/>
          <w:iCs/>
        </w:rPr>
        <w:t xml:space="preserve">“Some trust in chariots and some in horses, but we trust in the name of the LORD our God.”</w:t>
      </w:r>
      <w:r>
        <w:t xml:space="preserve"> </w:t>
      </w:r>
      <w:r>
        <w:t xml:space="preserve">— The canonical counterpoint: covenantal trust is concretely defined against the specific temptation Isaiah 30 addresses — cavalry and military power as false security.</w:t>
      </w:r>
    </w:p>
    <w:p>
      <w:pPr>
        <w:numPr>
          <w:ilvl w:val="0"/>
          <w:numId w:val="1001"/>
        </w:numPr>
      </w:pPr>
      <w:r>
        <w:rPr>
          <w:b/>
          <w:bCs/>
        </w:rPr>
        <w:t xml:space="preserve">Jeremiah 2:13</w:t>
      </w:r>
      <w:r>
        <w:t xml:space="preserve"> </w:t>
      </w:r>
      <w:r>
        <w:t xml:space="preserve">—</w:t>
      </w:r>
      <w:r>
        <w:t xml:space="preserve"> </w:t>
      </w:r>
      <w:r>
        <w:rPr>
          <w:i/>
          <w:iCs/>
        </w:rPr>
        <w:t xml:space="preserve">“My people have committed two evils: they have forsaken me, the fountain of living waters, and hewed out cisterns for themselves, broken cisterns that can hold no water.”</w:t>
      </w:r>
      <w:r>
        <w:t xml:space="preserve"> </w:t>
      </w:r>
      <w:r>
        <w:t xml:space="preserve">— The structural parallel to Isaiah 30’s irony: abandoning the source of life for a resource that will fail is not pragmatic; it is suicidal.</w:t>
      </w:r>
    </w:p>
    <w:p>
      <w:pPr>
        <w:numPr>
          <w:ilvl w:val="0"/>
          <w:numId w:val="1001"/>
        </w:numPr>
      </w:pPr>
      <w:r>
        <w:rPr>
          <w:b/>
          <w:bCs/>
        </w:rPr>
        <w:t xml:space="preserve">Matthew 11:28–30</w:t>
      </w:r>
      <w:r>
        <w:t xml:space="preserve"> </w:t>
      </w:r>
      <w:r>
        <w:t xml:space="preserve">—</w:t>
      </w:r>
      <w:r>
        <w:t xml:space="preserve"> </w:t>
      </w:r>
      <w:r>
        <w:rPr>
          <w:i/>
          <w:iCs/>
        </w:rPr>
        <w:t xml:space="preserve">“Come to me, all who labor and are heavy laden, and I will give you rest.”</w:t>
      </w:r>
      <w:r>
        <w:t xml:space="preserve"> </w:t>
      </w:r>
      <w:r>
        <w:t xml:space="preserve">— The New Testament fulfillment of the rest offered in Isaiah 30:15: the</w:t>
      </w:r>
      <w:r>
        <w:t xml:space="preserve"> </w:t>
      </w:r>
      <w:r>
        <w:t xml:space="preserve">“rest and quietness”</w:t>
      </w:r>
      <w:r>
        <w:t xml:space="preserve"> </w:t>
      </w:r>
      <w:r>
        <w:t xml:space="preserve">Judah refused is now offered explicitly in Christ. The invitation structure is identical — come, return, receive — and the refusal is equally available (</w:t>
      </w:r>
      <w:r>
        <w:t xml:space="preserve">“yet you would not,”</w:t>
      </w:r>
      <w:r>
        <w:t xml:space="preserve"> </w:t>
      </w:r>
      <w:r>
        <w:t xml:space="preserve">v. 15 // Matthew 23:37).</w:t>
      </w:r>
    </w:p>
    <w:p>
      <w:pPr>
        <w:numPr>
          <w:ilvl w:val="0"/>
          <w:numId w:val="1001"/>
        </w:numPr>
      </w:pPr>
      <w:r>
        <w:rPr>
          <w:b/>
          <w:bCs/>
        </w:rPr>
        <w:t xml:space="preserve">Hebrews 4:1–11</w:t>
      </w:r>
      <w:r>
        <w:t xml:space="preserve"> </w:t>
      </w:r>
      <w:r>
        <w:t xml:space="preserve">— The theological development of the</w:t>
      </w:r>
      <w:r>
        <w:t xml:space="preserve"> </w:t>
      </w:r>
      <w:r>
        <w:t xml:space="preserve">“rest”</w:t>
      </w:r>
      <w:r>
        <w:t xml:space="preserve"> </w:t>
      </w:r>
      <w:r>
        <w:t xml:space="preserve">motif across the canon, culminating in the Sabbath-rest that remains for God’s people. Isaiah 30’s</w:t>
      </w:r>
      <w:r>
        <w:t xml:space="preserve"> </w:t>
      </w:r>
      <w:r>
        <w:t xml:space="preserve">“rest and quietness”</w:t>
      </w:r>
      <w:r>
        <w:t xml:space="preserve"> </w:t>
      </w:r>
      <w:r>
        <w:t xml:space="preserve">as the mode of salvation connects directly to the Hebrews argument that the posture of faith is precisely the refusal to manufacture one’s own security —</w:t>
      </w:r>
      <w:r>
        <w:t xml:space="preserve"> </w:t>
      </w:r>
      <w:r>
        <w:t xml:space="preserve">“whoever has entered God’s rest has also rested from his own works”</w:t>
      </w:r>
      <w:r>
        <w:t xml:space="preserve"> </w:t>
      </w:r>
      <w:r>
        <w:t xml:space="preserve">(Heb. 4:10).</w:t>
      </w:r>
    </w:p>
    <w:p>
      <w:r>
        <w:pict>
          <v:rect style="width:0;height:1.5pt" o:hralign="center" o:hrstd="t" o:hr="t"/>
        </w:pict>
      </w:r>
    </w:p>
    <w:p>
      <w:pPr>
        <w:pStyle w:val="FirstParagraph"/>
      </w:pPr>
      <w:r>
        <w:rPr>
          <w:b/>
          <w:bCs/>
        </w:rPr>
        <w:t xml:space="preserve">Aim:</w:t>
      </w:r>
      <w:r>
        <w:t xml:space="preserve"> </w:t>
      </w:r>
      <w:r>
        <w:t xml:space="preserve">To confront the reader with the specific shape of their own Egypt-seeking, diagnose the root unbelief that drives it, and reissue God’s still-standing invitation to the rest and trust that only He provides.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Divine verdict: Judah’s Egyptian alliance is rebellion — plans made without the LORD, adding sin to sin</w:t>
            </w:r>
          </w:p>
        </w:tc>
        <w:tc>
          <w:tcPr/>
          <w:p>
            <w:pPr>
              <w:pStyle w:val="Compact"/>
            </w:pPr>
            <w:r>
              <w:t xml:space="preserve">“Rebellious children”</w:t>
            </w:r>
            <w:r>
              <w:t xml:space="preserve"> </w:t>
            </w:r>
            <w:r>
              <w:t xml:space="preserve">— the relational rupture precedes the strategic failure</w:t>
            </w:r>
          </w:p>
        </w:tc>
      </w:tr>
      <w:tr>
        <w:tc>
          <w:tcPr/>
          <w:p>
            <w:pPr>
              <w:pStyle w:val="Compact"/>
            </w:pPr>
            <w:r>
              <w:t xml:space="preserve">3–5</w:t>
            </w:r>
          </w:p>
        </w:tc>
        <w:tc>
          <w:tcPr/>
          <w:p>
            <w:pPr>
              <w:pStyle w:val="Compact"/>
            </w:pPr>
            <w:r>
              <w:t xml:space="preserve">The alliance will bring shame, not help — Egypt’s aid is worthless</w:t>
            </w:r>
          </w:p>
        </w:tc>
        <w:tc>
          <w:tcPr/>
          <w:p>
            <w:pPr>
              <w:pStyle w:val="Compact"/>
            </w:pPr>
            <w:r>
              <w:t xml:space="preserve">Specific place-names (Zoan, Hanes) anchor this in historical diplomacy</w:t>
            </w:r>
          </w:p>
        </w:tc>
      </w:tr>
      <w:tr>
        <w:tc>
          <w:tcPr/>
          <w:p>
            <w:pPr>
              <w:pStyle w:val="Compact"/>
            </w:pPr>
            <w:r>
              <w:t xml:space="preserve">6–7</w:t>
            </w:r>
          </w:p>
        </w:tc>
        <w:tc>
          <w:tcPr/>
          <w:p>
            <w:pPr>
              <w:pStyle w:val="Compact"/>
            </w:pPr>
            <w:r>
              <w:t xml:space="preserve">The burden through the Negeb — costly diplomatic envoys carrying wealth to Egypt for nothing; Egypt is</w:t>
            </w:r>
            <w:r>
              <w:t xml:space="preserve"> </w:t>
            </w:r>
            <w:r>
              <w:t xml:space="preserve">“Rahab who sits still”</w:t>
            </w:r>
          </w:p>
        </w:tc>
        <w:tc>
          <w:tcPr/>
          <w:p>
            <w:pPr>
              <w:pStyle w:val="Compact"/>
            </w:pPr>
            <w:r>
              <w:t xml:space="preserve">“Rahab”</w:t>
            </w:r>
            <w:r>
              <w:t xml:space="preserve"> </w:t>
            </w:r>
            <w:r>
              <w:t xml:space="preserve">— the chaos dragon; the name sarcastically applied to Egypt as a paper tiger</w:t>
            </w:r>
          </w:p>
        </w:tc>
      </w:tr>
      <w:tr>
        <w:tc>
          <w:tcPr/>
          <w:p>
            <w:pPr>
              <w:pStyle w:val="Compact"/>
            </w:pPr>
            <w:r>
              <w:t xml:space="preserve">8–11</w:t>
            </w:r>
          </w:p>
        </w:tc>
        <w:tc>
          <w:tcPr/>
          <w:p>
            <w:pPr>
              <w:pStyle w:val="Compact"/>
            </w:pPr>
            <w:r>
              <w:t xml:space="preserve">God commands the indictment inscribed permanently; the people have rejected the prophet’s word, demanded comfort, and refused to hear</w:t>
            </w:r>
            <w:r>
              <w:t xml:space="preserve"> </w:t>
            </w:r>
            <w:r>
              <w:t xml:space="preserve">“the Holy One of Israel”</w:t>
            </w:r>
          </w:p>
        </w:tc>
        <w:tc>
          <w:tcPr/>
          <w:p>
            <w:pPr>
              <w:pStyle w:val="Compact"/>
            </w:pPr>
            <w:r>
              <w:t xml:space="preserve">This is the diagnostic center: the problem is not strategic error but the rejection of God’s word and title</w:t>
            </w:r>
          </w:p>
        </w:tc>
      </w:tr>
      <w:tr>
        <w:tc>
          <w:tcPr/>
          <w:p>
            <w:pPr>
              <w:pStyle w:val="Compact"/>
            </w:pPr>
            <w:r>
              <w:t xml:space="preserve">12–14</w:t>
            </w:r>
          </w:p>
        </w:tc>
        <w:tc>
          <w:tcPr/>
          <w:p>
            <w:pPr>
              <w:pStyle w:val="Compact"/>
            </w:pPr>
            <w:r>
              <w:t xml:space="preserve">Because they have rejected this word and trusted in oppression and perverseness — sudden, total collapse; the wall that cracks and falls</w:t>
            </w:r>
          </w:p>
        </w:tc>
        <w:tc>
          <w:tcPr/>
          <w:p>
            <w:pPr>
              <w:pStyle w:val="Compact"/>
            </w:pPr>
            <w:r>
              <w:t xml:space="preserve">The metaphor: not slow decline but catastrophic structural failure</w:t>
            </w:r>
          </w:p>
        </w:tc>
      </w:tr>
      <w:tr>
        <w:tc>
          <w:tcPr/>
          <w:p>
            <w:pPr>
              <w:pStyle w:val="Compact"/>
            </w:pPr>
            <w:r>
              <w:t xml:space="preserve">15</w:t>
            </w:r>
          </w:p>
        </w:tc>
        <w:tc>
          <w:tcPr/>
          <w:p>
            <w:pPr>
              <w:pStyle w:val="Compact"/>
            </w:pPr>
            <w:r>
              <w:t xml:space="preserve">The LORD’s pivotal offer:</w:t>
            </w:r>
            <w:r>
              <w:t xml:space="preserve"> </w:t>
            </w:r>
            <w:r>
              <w:t xml:space="preserve">“In returning and rest you shall be saved; in quietness and trust shall be your strength”</w:t>
            </w:r>
            <w:r>
              <w:t xml:space="preserve"> </w:t>
            </w:r>
            <w:r>
              <w:t xml:space="preserve">—</w:t>
            </w:r>
            <w:r>
              <w:t xml:space="preserve"> </w:t>
            </w:r>
            <w:r>
              <w:rPr>
                <w:i/>
                <w:iCs/>
              </w:rPr>
              <w:t xml:space="preserve">but you were not willing</w:t>
            </w:r>
          </w:p>
        </w:tc>
        <w:tc>
          <w:tcPr/>
          <w:p>
            <w:pPr>
              <w:pStyle w:val="Compact"/>
            </w:pPr>
            <w:r>
              <w:t xml:space="preserve">The theological center of the chapter; the contrast between what was offered and what was chosen</w:t>
            </w:r>
          </w:p>
        </w:tc>
      </w:tr>
      <w:tr>
        <w:tc>
          <w:tcPr/>
          <w:p>
            <w:pPr>
              <w:pStyle w:val="Compact"/>
            </w:pPr>
            <w:r>
              <w:t xml:space="preserve">16–17</w:t>
            </w:r>
          </w:p>
        </w:tc>
        <w:tc>
          <w:tcPr/>
          <w:p>
            <w:pPr>
              <w:pStyle w:val="Compact"/>
            </w:pPr>
            <w:r>
              <w:t xml:space="preserve">Judah’s counter-proposal: horses and flight; the consequence is that they will flee before one enemy</w:t>
            </w:r>
          </w:p>
        </w:tc>
        <w:tc>
          <w:tcPr/>
          <w:p>
            <w:pPr>
              <w:pStyle w:val="Compact"/>
            </w:pPr>
            <w:r>
              <w:t xml:space="preserve">The bitter irony: they demanded horses to flee — they will need them to flee in panic</w:t>
            </w:r>
          </w:p>
        </w:tc>
      </w:tr>
      <w:tr>
        <w:tc>
          <w:tcPr/>
          <w:p>
            <w:pPr>
              <w:pStyle w:val="Compact"/>
            </w:pPr>
            <w:r>
              <w:t xml:space="preserve">18</w:t>
            </w:r>
          </w:p>
        </w:tc>
        <w:tc>
          <w:tcPr/>
          <w:p>
            <w:pPr>
              <w:pStyle w:val="Compact"/>
            </w:pPr>
            <w:r>
              <w:t xml:space="preserve">The LORD</w:t>
            </w:r>
            <w:r>
              <w:t xml:space="preserve"> </w:t>
            </w:r>
            <w:r>
              <w:rPr>
                <w:i/>
                <w:iCs/>
              </w:rPr>
              <w:t xml:space="preserve">waits</w:t>
            </w:r>
            <w:r>
              <w:t xml:space="preserve"> </w:t>
            </w:r>
            <w:r>
              <w:t xml:space="preserve">to be gracious; He</w:t>
            </w:r>
            <w:r>
              <w:t xml:space="preserve"> </w:t>
            </w:r>
            <w:r>
              <w:rPr>
                <w:i/>
                <w:iCs/>
              </w:rPr>
              <w:t xml:space="preserve">rises</w:t>
            </w:r>
            <w:r>
              <w:t xml:space="preserve"> </w:t>
            </w:r>
            <w:r>
              <w:t xml:space="preserve">to show mercy; He is a God of justice — blessed are those who wait for Him</w:t>
            </w:r>
          </w:p>
        </w:tc>
        <w:tc>
          <w:tcPr/>
          <w:p>
            <w:pPr>
              <w:pStyle w:val="Compact"/>
            </w:pPr>
            <w:r>
              <w:t xml:space="preserve">The great hinge: grace is not withdrawn despite the rejection; God waits</w:t>
            </w:r>
          </w:p>
        </w:tc>
      </w:tr>
      <w:tr>
        <w:tc>
          <w:tcPr/>
          <w:p>
            <w:pPr>
              <w:pStyle w:val="Compact"/>
            </w:pPr>
            <w:r>
              <w:t xml:space="preserve">19–22</w:t>
            </w:r>
          </w:p>
        </w:tc>
        <w:tc>
          <w:tcPr/>
          <w:p>
            <w:pPr>
              <w:pStyle w:val="Compact"/>
            </w:pPr>
            <w:r>
              <w:t xml:space="preserve">Future grace: the people will weep no more; He will answer; He will give bread and water; the Teacher will not hide; the road will be clear; the idols will be cast aside</w:t>
            </w:r>
          </w:p>
        </w:tc>
        <w:tc>
          <w:tcPr/>
          <w:p>
            <w:pPr>
              <w:pStyle w:val="Compact"/>
            </w:pPr>
            <w:r>
              <w:t xml:space="preserve">The cascade of restoration flows from return; idol-abandonment is both fruit and confirmation of return</w:t>
            </w:r>
          </w:p>
        </w:tc>
      </w:tr>
      <w:tr>
        <w:tc>
          <w:tcPr/>
          <w:p>
            <w:pPr>
              <w:pStyle w:val="Compact"/>
            </w:pPr>
            <w:r>
              <w:t xml:space="preserve">23–26</w:t>
            </w:r>
          </w:p>
        </w:tc>
        <w:tc>
          <w:tcPr/>
          <w:p>
            <w:pPr>
              <w:pStyle w:val="Compact"/>
            </w:pPr>
            <w:r>
              <w:t xml:space="preserve">Agricultural and cosmic restoration: rain, fertile land, abundant pasture, streams; the moon and sun will shine with unprecedented brightness</w:t>
            </w:r>
          </w:p>
        </w:tc>
        <w:tc>
          <w:tcPr/>
          <w:p>
            <w:pPr>
              <w:pStyle w:val="Compact"/>
            </w:pPr>
            <w:r>
              <w:t xml:space="preserve">Covenant-blessing language; phenomenological/poetic — the reversal of curse</w:t>
            </w:r>
          </w:p>
        </w:tc>
      </w:tr>
      <w:tr>
        <w:tc>
          <w:tcPr/>
          <w:p>
            <w:pPr>
              <w:pStyle w:val="Compact"/>
            </w:pPr>
            <w:r>
              <w:t xml:space="preserve">27–29</w:t>
            </w:r>
          </w:p>
        </w:tc>
        <w:tc>
          <w:tcPr/>
          <w:p>
            <w:pPr>
              <w:pStyle w:val="Compact"/>
            </w:pPr>
            <w:r>
              <w:t xml:space="preserve">Theophany: the LORD comes in burning anger against the nations — His lips full of fury, His tongue as a devouring fire</w:t>
            </w:r>
          </w:p>
        </w:tc>
        <w:tc>
          <w:tcPr/>
          <w:p>
            <w:pPr>
              <w:pStyle w:val="Compact"/>
            </w:pPr>
            <w:r>
              <w:t xml:space="preserve">The same God who waits to be gracious is the God who will consume His enemies</w:t>
            </w:r>
          </w:p>
        </w:tc>
      </w:tr>
      <w:tr>
        <w:tc>
          <w:tcPr/>
          <w:p>
            <w:pPr>
              <w:pStyle w:val="Compact"/>
            </w:pPr>
            <w:r>
              <w:t xml:space="preserve">30–33</w:t>
            </w:r>
          </w:p>
        </w:tc>
        <w:tc>
          <w:tcPr/>
          <w:p>
            <w:pPr>
              <w:pStyle w:val="Compact"/>
            </w:pPr>
            <w:r>
              <w:t xml:space="preserve">The LORD’s voice descends in judgment; Assyria struck down; Topheth prepared for the king of Assyria</w:t>
            </w:r>
          </w:p>
        </w:tc>
        <w:tc>
          <w:tcPr/>
          <w:p>
            <w:pPr>
              <w:pStyle w:val="Compact"/>
            </w:pPr>
            <w:r>
              <w:t xml:space="preserve">Historical referent: Sennacherib’s defeat (cf. Isa. 37); eschatological resonance — the final Topheth</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1–7</w:t>
            </w:r>
          </w:p>
        </w:tc>
        <w:tc>
          <w:tcPr/>
          <w:p>
            <w:pPr>
              <w:pStyle w:val="Compact"/>
            </w:pPr>
            <w:r>
              <w:t xml:space="preserve">The Indictment: The Shame of Egypt’s Shadow</w:t>
            </w:r>
          </w:p>
        </w:tc>
      </w:tr>
      <w:tr>
        <w:tc>
          <w:tcPr/>
          <w:p>
            <w:pPr>
              <w:pStyle w:val="Compact"/>
            </w:pPr>
            <w:r>
              <w:t xml:space="preserve">2</w:t>
            </w:r>
          </w:p>
        </w:tc>
        <w:tc>
          <w:tcPr/>
          <w:p>
            <w:pPr>
              <w:pStyle w:val="Compact"/>
            </w:pPr>
            <w:r>
              <w:t xml:space="preserve">8–14</w:t>
            </w:r>
          </w:p>
        </w:tc>
        <w:tc>
          <w:tcPr/>
          <w:p>
            <w:pPr>
              <w:pStyle w:val="Compact"/>
            </w:pPr>
            <w:r>
              <w:t xml:space="preserve">The Record: A Rebellion Inscribed Forever</w:t>
            </w:r>
          </w:p>
        </w:tc>
      </w:tr>
      <w:tr>
        <w:tc>
          <w:tcPr/>
          <w:p>
            <w:pPr>
              <w:pStyle w:val="Compact"/>
            </w:pPr>
            <w:r>
              <w:t xml:space="preserve">3</w:t>
            </w:r>
          </w:p>
        </w:tc>
        <w:tc>
          <w:tcPr/>
          <w:p>
            <w:pPr>
              <w:pStyle w:val="Compact"/>
            </w:pPr>
            <w:r>
              <w:t xml:space="preserve">15–17</w:t>
            </w:r>
          </w:p>
        </w:tc>
        <w:tc>
          <w:tcPr/>
          <w:p>
            <w:pPr>
              <w:pStyle w:val="Compact"/>
            </w:pPr>
            <w:r>
              <w:t xml:space="preserve">The Pivot: What Was Offered, What Was Refused</w:t>
            </w:r>
          </w:p>
        </w:tc>
      </w:tr>
      <w:tr>
        <w:tc>
          <w:tcPr/>
          <w:p>
            <w:pPr>
              <w:pStyle w:val="Compact"/>
            </w:pPr>
            <w:r>
              <w:t xml:space="preserve">4</w:t>
            </w:r>
          </w:p>
        </w:tc>
        <w:tc>
          <w:tcPr/>
          <w:p>
            <w:pPr>
              <w:pStyle w:val="Compact"/>
            </w:pPr>
            <w:r>
              <w:t xml:space="preserve">18–26</w:t>
            </w:r>
          </w:p>
        </w:tc>
        <w:tc>
          <w:tcPr/>
          <w:p>
            <w:pPr>
              <w:pStyle w:val="Compact"/>
            </w:pPr>
            <w:r>
              <w:t xml:space="preserve">The Grace: The LORD Waits to Be Gracious</w:t>
            </w:r>
          </w:p>
        </w:tc>
      </w:tr>
      <w:tr>
        <w:tc>
          <w:tcPr/>
          <w:p>
            <w:pPr>
              <w:pStyle w:val="Compact"/>
            </w:pPr>
            <w:r>
              <w:t xml:space="preserve">5</w:t>
            </w:r>
          </w:p>
        </w:tc>
        <w:tc>
          <w:tcPr/>
          <w:p>
            <w:pPr>
              <w:pStyle w:val="Compact"/>
            </w:pPr>
            <w:r>
              <w:t xml:space="preserve">27–33</w:t>
            </w:r>
          </w:p>
        </w:tc>
        <w:tc>
          <w:tcPr/>
          <w:p>
            <w:pPr>
              <w:pStyle w:val="Compact"/>
            </w:pPr>
            <w:r>
              <w:t xml:space="preserve">The Fire: The LORD Who Saves Is the LORD Who Consumes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Judah’s flight to Egypt for security exposes the fatal folly of trading God’s rest for human resources.</w:t>
      </w:r>
    </w:p>
    <w:p>
      <w:pPr>
        <w:pStyle w:val="BodyText"/>
      </w:pPr>
      <w:r>
        <w:rPr>
          <w:b/>
          <w:bCs/>
        </w:rPr>
        <w:t xml:space="preserve">Primary Claim:</w:t>
      </w:r>
      <w:r>
        <w:t xml:space="preserve"> </w:t>
      </w:r>
      <w:r>
        <w:t xml:space="preserve">God is confronting His people with the devastating irony that their frantic search for security is itself the source of their ruin — and calling them back to the rest, trust, and quietness that only He provides, which He still freely offers to all who will return.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w:t>
      </w:r>
      <w:r>
        <w:t xml:space="preserve"> </w:t>
      </w:r>
      <w:r>
        <w:t xml:space="preserve">The specific sin Isaiah 30 indicts is not cowardice or stupidity — it is the theological verdict that God alone is insufficient for what you face. Every</w:t>
      </w:r>
      <w:r>
        <w:t xml:space="preserve"> </w:t>
      </w:r>
      <w:r>
        <w:t xml:space="preserve">“Egypt”</w:t>
      </w:r>
      <w:r>
        <w:t xml:space="preserve"> </w:t>
      </w:r>
      <w:r>
        <w:t xml:space="preserve">in your life is a confession:</w:t>
      </w:r>
      <w:r>
        <w:t xml:space="preserve"> </w:t>
      </w:r>
      <w:r>
        <w:rPr>
          <w:i/>
          <w:iCs/>
        </w:rPr>
        <w:t xml:space="preserve">I have looked at this threat and concluded that God is not enough.</w:t>
      </w:r>
      <w:r>
        <w:t xml:space="preserve"> </w:t>
      </w:r>
      <w:r>
        <w:t xml:space="preserve">Name the Egypt you are currently funding with your energy, money, or relationships. The issue is not whether the resource is real — Egypt had actual chariots. The issue is what your reliance on that resource reveals about your functional theology. You may confess the sufficiency of God on Sunday and spend the week behaving as though He is not. The indictment of Isaiah 30 is not that Judah was wrong about Egypt — it is that they were wrong about God.</w:t>
      </w:r>
    </w:p>
    <w:p>
      <w:pPr>
        <w:pStyle w:val="BodyText"/>
      </w:pPr>
      <w:r>
        <w:rPr>
          <w:b/>
          <w:bCs/>
        </w:rPr>
        <w:t xml:space="preserve">2. (Affections/Worship)</w:t>
      </w:r>
      <w:r>
        <w:t xml:space="preserve"> </w:t>
      </w:r>
      <w:r>
        <w:t xml:space="preserve">Isaiah 30:15 is one of the most quietly devastating verses in all of Scripture:</w:t>
      </w:r>
      <w:r>
        <w:t xml:space="preserve"> </w:t>
      </w:r>
      <w:r>
        <w:rPr>
          <w:i/>
          <w:iCs/>
        </w:rPr>
        <w:t xml:space="preserve">“In returning and rest you shall be saved; in quietness and trust shall be your strength — but you were not willing.”</w:t>
      </w:r>
      <w:r>
        <w:t xml:space="preserve"> </w:t>
      </w:r>
      <w:r>
        <w:t xml:space="preserve">What God offered was not a hardship — it was rest. What Judah refused was not a burden — it was quietness. The tragedy is not that the way was too hard; it is that it was too still. We reject God’s rest not because we cannot bear the cost but because we cannot bear the quiet — the quiet in which we would have to stop managing, stop leveraging, stop performing, and simply trust. Sit with verse 15 long enough to feel the weight of</w:t>
      </w:r>
      <w:r>
        <w:t xml:space="preserve"> </w:t>
      </w:r>
      <w:r>
        <w:t xml:space="preserve">“but you were not willing.”</w:t>
      </w:r>
      <w:r>
        <w:t xml:space="preserve"> </w:t>
      </w:r>
      <w:r>
        <w:t xml:space="preserve">Ask God to create in you a genuine desire for the rest you have been fleeing.</w:t>
      </w:r>
    </w:p>
    <w:p>
      <w:pPr>
        <w:pStyle w:val="BodyText"/>
      </w:pPr>
      <w:r>
        <w:rPr>
          <w:b/>
          <w:bCs/>
        </w:rPr>
        <w:t xml:space="preserve">3. (Will/Behavior)</w:t>
      </w:r>
      <w:r>
        <w:t xml:space="preserve"> </w:t>
      </w:r>
      <w:r>
        <w:t xml:space="preserve">God commands Isaiah to write the indictment in a book</w:t>
      </w:r>
      <w:r>
        <w:t xml:space="preserve"> </w:t>
      </w:r>
      <w:r>
        <w:t xml:space="preserve">“that it may be for the time to come as a witness forever”</w:t>
      </w:r>
      <w:r>
        <w:t xml:space="preserve"> </w:t>
      </w:r>
      <w:r>
        <w:t xml:space="preserve">(v. 8). This is not a passive archiving — it is a demand that the record be consulted. The practical application is this: where are you currently making plans without consulting the LORD? Not without mentioning the LORD — without actually waiting on His direction before committing. Judah’s sin was not that they prayed and then went to Egypt; it is that they planned and executed the alliance before God was consulted at all (v. 1 —</w:t>
      </w:r>
      <w:r>
        <w:t xml:space="preserve"> </w:t>
      </w:r>
      <w:r>
        <w:t xml:space="preserve">“who carry out a plan, but not mine”</w:t>
      </w:r>
      <w:r>
        <w:t xml:space="preserve">). Identify one significant decision currently in motion and deliberately pause to consult — not inform — God about it.</w:t>
      </w:r>
    </w:p>
    <w:p>
      <w:pPr>
        <w:pStyle w:val="BodyText"/>
      </w:pPr>
      <w:r>
        <w:rPr>
          <w:b/>
          <w:bCs/>
        </w:rPr>
        <w:t xml:space="preserve">4. (Mind/Belief)</w:t>
      </w:r>
      <w:r>
        <w:t xml:space="preserve"> </w:t>
      </w:r>
      <w:r>
        <w:t xml:space="preserve">Verse 18 is one of the most counterintuitive statements about God in the entire Old Testament:</w:t>
      </w:r>
      <w:r>
        <w:t xml:space="preserve"> </w:t>
      </w:r>
      <w:r>
        <w:rPr>
          <w:i/>
          <w:iCs/>
        </w:rPr>
        <w:t xml:space="preserve">“Therefore the LORD waits to be gracious to you, and therefore he exalts himself to show mercy to you.”</w:t>
      </w:r>
      <w:r>
        <w:t xml:space="preserve"> </w:t>
      </w:r>
      <w:r>
        <w:t xml:space="preserve">God is not waiting for you to become worthy of His grace before He gives it — He is waiting in the posture of a father watching the road, grace ready, for the moment His child turns back. The</w:t>
      </w:r>
      <w:r>
        <w:t xml:space="preserve"> </w:t>
      </w:r>
      <w:r>
        <w:t xml:space="preserve">“therefore”</w:t>
      </w:r>
      <w:r>
        <w:t xml:space="preserve"> </w:t>
      </w:r>
      <w:r>
        <w:t xml:space="preserve">is arresting: even after the full indictment of verses 1–17, God’s response is to</w:t>
      </w:r>
      <w:r>
        <w:t xml:space="preserve"> </w:t>
      </w:r>
      <w:r>
        <w:rPr>
          <w:i/>
          <w:iCs/>
        </w:rPr>
        <w:t xml:space="preserve">wait to be gracious</w:t>
      </w:r>
      <w:r>
        <w:t xml:space="preserve">. The delay in restoration is not divine reluctance — it is the structure of grace meeting repentance. The moment you return, He rises to show mercy. Do not interpret God’s silence during your Egypt-seeking as His abandonment. He is waiting.</w:t>
      </w:r>
    </w:p>
    <w:p>
      <w:pPr>
        <w:pStyle w:val="BodyText"/>
      </w:pPr>
      <w:r>
        <w:rPr>
          <w:b/>
          <w:bCs/>
        </w:rPr>
        <w:t xml:space="preserve">5. (Affections/Worship)</w:t>
      </w:r>
      <w:r>
        <w:t xml:space="preserve"> </w:t>
      </w:r>
      <w:r>
        <w:t xml:space="preserve">The chapter ends not with comfort but with fire — the LORD coming in burning wrath, Topheth prepared for Assyria (vv. 27–33). The God who waits to be gracious to His people is simultaneously the God who will consume every power that threatens them. These are not two different Gods — they are two faces of the same covenant Lord whose name is</w:t>
      </w:r>
      <w:r>
        <w:t xml:space="preserve"> </w:t>
      </w:r>
      <w:r>
        <w:t xml:space="preserve">“the Holy One of Israel”</w:t>
      </w:r>
      <w:r>
        <w:t xml:space="preserve"> </w:t>
      </w:r>
      <w:r>
        <w:t xml:space="preserve">(vv. 11–12, 15). Judah wanted Egypt’s horses; God offered Himself — the One before whom Sennacherib’s 185,000 fell in a night. The failure of faith in Isaiah 30 is not merely a failure of strategy; it is a failure of imagination — they could not conceive of a God whose action would make their frantic diplomacy look absurd. Let the closing theophany recalibrate your picture of the God to whom you are returning when you return in rest and trust.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30 teaches that the root of all idolatry is a functional assessment that God is insufficient for the actual threat before us. The people do not reject God abstractly — they reject Him</w:t>
      </w:r>
      <w:r>
        <w:t xml:space="preserve"> </w:t>
      </w:r>
      <w:r>
        <w:rPr>
          <w:i/>
          <w:iCs/>
        </w:rPr>
        <w:t xml:space="preserve">in favor of a specific resource</w:t>
      </w:r>
      <w:r>
        <w:t xml:space="preserve"> </w:t>
      </w:r>
      <w:r>
        <w:t xml:space="preserve">that they have judged more adequate to their need. This means idolatry is always comparative and always contextual: it names what we trust when we have decided God is not enough. The passage also teaches the nature of salvation as</w:t>
      </w:r>
      <w:r>
        <w:t xml:space="preserve"> </w:t>
      </w:r>
      <w:r>
        <w:rPr>
          <w:i/>
          <w:iCs/>
        </w:rPr>
        <w:t xml:space="preserve">rest</w:t>
      </w:r>
      <w:r>
        <w:t xml:space="preserve"> </w:t>
      </w:r>
      <w:r>
        <w:t xml:space="preserve">— not achievement, not alliance, not leverage, but the active stillness of trusting the One who acts on behalf of those who wait for Him (v. 18). Finally, the passage reveals God’s astonishing patience: the indictment is total, the rebellion is willful, and yet God waits, grace ready, for the moment of return. The character of God on display here is not primarily the warrior-judge (though that appears in vv. 27–33) but the patient, gracious Covenant Lord who refuses to abandon His people even when they have abandoned Him.</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30 is a canonical exhibition of the Reformation’s central anthropological diagnosis: human beings are incurably self-sufficient, and the refusal to rest in God’s provision alone is not an occasional lapse but the endemic condition of the unregenerate heart — and the perpetual temptation of the regenerate one. The passage’s structure — indictment, permanent record, pivot at verse 15, grace at verse 18 — follows the Reformed ordo of Law before Gospel: the indictment must be heard before the grace can be received. The</w:t>
      </w:r>
      <w:r>
        <w:t xml:space="preserve"> </w:t>
      </w:r>
      <w:r>
        <w:t xml:space="preserve">“rest and quietness”</w:t>
      </w:r>
      <w:r>
        <w:t xml:space="preserve"> </w:t>
      </w:r>
      <w:r>
        <w:t xml:space="preserve">of verse 15 is the Old Testament form of</w:t>
      </w:r>
      <w:r>
        <w:t xml:space="preserve"> </w:t>
      </w:r>
      <w:r>
        <w:rPr>
          <w:i/>
          <w:iCs/>
        </w:rPr>
        <w:t xml:space="preserve">sola fide</w:t>
      </w:r>
      <w:r>
        <w:t xml:space="preserve"> </w:t>
      </w:r>
      <w:r>
        <w:t xml:space="preserve">in a covenantal-political register: salvation comes not through the horses you can gather but through the Lord you trust. The remarkable</w:t>
      </w:r>
      <w:r>
        <w:t xml:space="preserve"> </w:t>
      </w:r>
      <w:r>
        <w:t xml:space="preserve">“therefore the LORD waits”</w:t>
      </w:r>
      <w:r>
        <w:t xml:space="preserve"> </w:t>
      </w:r>
      <w:r>
        <w:t xml:space="preserve">of verse 18 is a window into the Reformed doctrine of divine patience and sovereign grace — God’s graciousness is not contingent on human worthiness but on His own character; He</w:t>
      </w:r>
      <w:r>
        <w:t xml:space="preserve"> </w:t>
      </w:r>
      <w:r>
        <w:rPr>
          <w:i/>
          <w:iCs/>
        </w:rPr>
        <w:t xml:space="preserve">waits</w:t>
      </w:r>
      <w:r>
        <w:t xml:space="preserve"> </w:t>
      </w:r>
      <w:r>
        <w:t xml:space="preserve">not because He is passive but because He is the God who saves in His own way and time. The inscribed indictment (v. 8) anticipates the function of Scripture itself as a permanent witness against the idolatry of the human heart and the inexhaustible invitation to return.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are currently looking for your Egypt — some resource, relationship, or strategy that feels more adequate to your situation than God alone. Isaiah 30 does not call you stupid for looking; it calls you faithless. The word God still speaks to you is the word Judah refused in verse 15:</w:t>
      </w:r>
      <w:r>
        <w:t xml:space="preserve"> </w:t>
      </w:r>
      <w:r>
        <w:rPr>
          <w:i/>
          <w:iCs/>
        </w:rPr>
        <w:t xml:space="preserve">return, rest, be quiet, trust</w:t>
      </w:r>
      <w:r>
        <w:t xml:space="preserve"> </w:t>
      </w:r>
      <w:r>
        <w:t xml:space="preserve">— and in that, find strength. He has not withdrawn the offer. He is waiting.</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Moralizing the Egypt metaphor into generic</w:t>
      </w:r>
      <w:r>
        <w:rPr>
          <w:b/>
          <w:bCs/>
        </w:rPr>
        <w:t xml:space="preserve"> </w:t>
      </w:r>
      <w:r>
        <w:rPr>
          <w:b/>
          <w:bCs/>
        </w:rPr>
        <w:t xml:space="preserve">“bad choices.”</w:t>
      </w:r>
      <w:r>
        <w:t xml:space="preserve"> </w:t>
      </w:r>
      <w:r>
        <w:t xml:space="preserve">The temptation is to preach</w:t>
      </w:r>
      <w:r>
        <w:t xml:space="preserve"> </w:t>
      </w:r>
      <w:r>
        <w:t xml:space="preserve">“don’t trust in things more than God”</w:t>
      </w:r>
      <w:r>
        <w:t xml:space="preserve"> </w:t>
      </w:r>
      <w:r>
        <w:t xml:space="preserve">as a general life principle, thereby evacuating the passage’s specific and radical claim. Isaiah 30 is not about bad versus good choices — it is about the theological root of unbelief that drives the specific behavior. Applications should diagnose the</w:t>
      </w:r>
      <w:r>
        <w:t xml:space="preserve"> </w:t>
      </w:r>
      <w:r>
        <w:rPr>
          <w:i/>
          <w:iCs/>
        </w:rPr>
        <w:t xml:space="preserve">theological</w:t>
      </w:r>
      <w:r>
        <w:t xml:space="preserve"> </w:t>
      </w:r>
      <w:r>
        <w:t xml:space="preserve">verdict behind the behavior (</w:t>
      </w:r>
      <w:r>
        <w:t xml:space="preserve">“I have judged God insufficient”</w:t>
      </w:r>
      <w:r>
        <w:t xml:space="preserve">) rather than merely addressing the behavior itself (</w:t>
      </w:r>
      <w:r>
        <w:t xml:space="preserve">“stop relying on resources”</w:t>
      </w:r>
      <w:r>
        <w:t xml:space="preserve">). Moralism produces guilt without gospel; this passage aims to expose the idol beneath the behavior.</w:t>
      </w:r>
    </w:p>
    <w:p>
      <w:pPr>
        <w:numPr>
          <w:ilvl w:val="0"/>
          <w:numId w:val="1002"/>
        </w:numPr>
      </w:pPr>
      <w:r>
        <w:rPr>
          <w:b/>
          <w:bCs/>
        </w:rPr>
        <w:t xml:space="preserve">Skipping the</w:t>
      </w:r>
      <w:r>
        <w:rPr>
          <w:b/>
          <w:bCs/>
        </w:rPr>
        <w:t xml:space="preserve"> </w:t>
      </w:r>
      <w:r>
        <w:rPr>
          <w:b/>
          <w:bCs/>
        </w:rPr>
        <w:t xml:space="preserve">“but you were not willing”</w:t>
      </w:r>
      <w:r>
        <w:rPr>
          <w:b/>
          <w:bCs/>
        </w:rPr>
        <w:t xml:space="preserve"> </w:t>
      </w:r>
      <w:r>
        <w:rPr>
          <w:b/>
          <w:bCs/>
        </w:rPr>
        <w:t xml:space="preserve">of verse 15.</w:t>
      </w:r>
      <w:r>
        <w:t xml:space="preserve"> </w:t>
      </w:r>
      <w:r>
        <w:t xml:space="preserve">Verse 15 is the most important verse in the chapter, and the phrase</w:t>
      </w:r>
      <w:r>
        <w:t xml:space="preserve"> </w:t>
      </w:r>
      <w:r>
        <w:t xml:space="preserve">“but you were not willing”</w:t>
      </w:r>
      <w:r>
        <w:t xml:space="preserve"> </w:t>
      </w:r>
      <w:r>
        <w:t xml:space="preserve">is its most important clause. Preachers often quote the first half as comfort and omit the second half as indictment. But the pathos of the passage — and its pastoral power — lies entirely in the contrast: the offer was rest, and they fled from it. Omitting the refusal strips the verse of its convicting force and makes it merely a pleasant promise rather than a searching diagnosis.</w:t>
      </w:r>
    </w:p>
    <w:p>
      <w:pPr>
        <w:numPr>
          <w:ilvl w:val="0"/>
          <w:numId w:val="1002"/>
        </w:numPr>
      </w:pPr>
      <w:r>
        <w:rPr>
          <w:b/>
          <w:bCs/>
        </w:rPr>
        <w:t xml:space="preserve">Reducing the restoration section (vv. 18–26) to a future promise only.</w:t>
      </w:r>
      <w:r>
        <w:t xml:space="preserve"> </w:t>
      </w:r>
      <w:r>
        <w:t xml:space="preserve">The restoration offered in verses 18–26 begins with</w:t>
      </w:r>
      <w:r>
        <w:t xml:space="preserve"> </w:t>
      </w:r>
      <w:r>
        <w:rPr>
          <w:i/>
          <w:iCs/>
        </w:rPr>
        <w:t xml:space="preserve">present responsiveness</w:t>
      </w:r>
      <w:r>
        <w:t xml:space="preserve">:</w:t>
      </w:r>
      <w:r>
        <w:t xml:space="preserve"> </w:t>
      </w:r>
      <w:r>
        <w:t xml:space="preserve">“at the sound of your cry, he will answer you”</w:t>
      </w:r>
      <w:r>
        <w:t xml:space="preserve"> </w:t>
      </w:r>
      <w:r>
        <w:t xml:space="preserve">(v. 19). Deferring the entire section to millennial or eschatological fulfillment removes its immediate pastoral force. God is</w:t>
      </w:r>
      <w:r>
        <w:t xml:space="preserve"> </w:t>
      </w:r>
      <w:r>
        <w:rPr>
          <w:i/>
          <w:iCs/>
        </w:rPr>
        <w:t xml:space="preserve">currently</w:t>
      </w:r>
      <w:r>
        <w:t xml:space="preserve"> </w:t>
      </w:r>
      <w:r>
        <w:t xml:space="preserve">in the posture of waiting to be gracious (v. 18). The invitation is live now.</w:t>
      </w:r>
    </w:p>
    <w:p>
      <w:pPr>
        <w:numPr>
          <w:ilvl w:val="0"/>
          <w:numId w:val="1002"/>
        </w:numPr>
      </w:pPr>
      <w:r>
        <w:rPr>
          <w:b/>
          <w:bCs/>
        </w:rPr>
        <w:t xml:space="preserve">Preaching the theophany of verses 27–33 in isolation from the grace of verses 18–26.</w:t>
      </w:r>
      <w:r>
        <w:t xml:space="preserve"> </w:t>
      </w:r>
      <w:r>
        <w:t xml:space="preserve">The chapter’s closing section on divine judgment is arresting and vivid, and preachers with prophetic temperament may linger here. But severed from verses 18–26, the judgment section becomes either terrifying or abstract. Its actual function is to establish the adequacy of the God to whom Judah was invited to return:</w:t>
      </w:r>
      <w:r>
        <w:t xml:space="preserve"> </w:t>
      </w:r>
      <w:r>
        <w:rPr>
          <w:i/>
          <w:iCs/>
        </w:rPr>
        <w:t xml:space="preserve">the One who waits to be gracious is also the One who destroys Assyria overnight</w:t>
      </w:r>
      <w:r>
        <w:t xml:space="preserve">. The theophany answers the implicit objection to faith —</w:t>
      </w:r>
      <w:r>
        <w:t xml:space="preserve"> </w:t>
      </w:r>
      <w:r>
        <w:t xml:space="preserve">“but Assyria is real and powerful”</w:t>
      </w:r>
      <w:r>
        <w:t xml:space="preserve"> </w:t>
      </w:r>
      <w:r>
        <w:t xml:space="preserve">— by revealing who God actually is.</w:t>
      </w:r>
    </w:p>
    <w:p>
      <w:pPr>
        <w:numPr>
          <w:ilvl w:val="0"/>
          <w:numId w:val="1002"/>
        </w:numPr>
      </w:pPr>
      <w:r>
        <w:rPr>
          <w:b/>
          <w:bCs/>
        </w:rPr>
        <w:t xml:space="preserve">Treating</w:t>
      </w:r>
      <w:r>
        <w:rPr>
          <w:b/>
          <w:bCs/>
        </w:rPr>
        <w:t xml:space="preserve"> </w:t>
      </w:r>
      <w:r>
        <w:rPr>
          <w:b/>
          <w:bCs/>
        </w:rPr>
        <w:t xml:space="preserve">“quietness and trust”</w:t>
      </w:r>
      <w:r>
        <w:rPr>
          <w:b/>
          <w:bCs/>
        </w:rPr>
        <w:t xml:space="preserve"> </w:t>
      </w:r>
      <w:r>
        <w:rPr>
          <w:b/>
          <w:bCs/>
        </w:rPr>
        <w:t xml:space="preserve">as spiritual passivity.</w:t>
      </w:r>
      <w:r>
        <w:t xml:space="preserve"> </w:t>
      </w:r>
      <w:r>
        <w:t xml:space="preserve">Verse 15’s</w:t>
      </w:r>
      <w:r>
        <w:t xml:space="preserve"> </w:t>
      </w:r>
      <w:r>
        <w:t xml:space="preserve">“quietness and trust”</w:t>
      </w:r>
      <w:r>
        <w:t xml:space="preserve"> </w:t>
      </w:r>
      <w:r>
        <w:t xml:space="preserve">(</w:t>
      </w:r>
      <w:r>
        <w:rPr>
          <w:i/>
          <w:iCs/>
        </w:rPr>
        <w:t xml:space="preserve">shĕqet ûbitḥâh</w:t>
      </w:r>
      <w:r>
        <w:t xml:space="preserve">) is not an invitation to disengage from the real world — it is the specific form of faith required when every instinct screams for action. Misread as quietism, the verse commends withdrawal; correctly read in its covenantal-political context, it commends the hardest possible form of active faith: trusting God to act when all the conventional levers of power are available and tempting. The application should be demanding, not soothing.</w:t>
      </w:r>
    </w:p>
    <w:p>
      <w:pPr>
        <w:numPr>
          <w:ilvl w:val="0"/>
          <w:numId w:val="1002"/>
        </w:numPr>
      </w:pPr>
      <w:r>
        <w:rPr>
          <w:b/>
          <w:bCs/>
        </w:rPr>
        <w:t xml:space="preserve">Failing to preach verse 18 as the theological center of the chapter’s grace section.</w:t>
      </w:r>
      <w:r>
        <w:t xml:space="preserve"> </w:t>
      </w:r>
      <w:r>
        <w:t xml:space="preserve">“Therefore the LORD waits to be gracious to you”</w:t>
      </w:r>
      <w:r>
        <w:t xml:space="preserve"> </w:t>
      </w:r>
      <w:r>
        <w:t xml:space="preserve">is a staggering statement placed immediately after a comprehensive indictment. Preachers who race past it to get to the concrete restorations of verses 19–26 miss the beating heart of the passage. The</w:t>
      </w:r>
      <w:r>
        <w:t xml:space="preserve"> </w:t>
      </w:r>
      <w:r>
        <w:rPr>
          <w:i/>
          <w:iCs/>
        </w:rPr>
        <w:t xml:space="preserve">character</w:t>
      </w:r>
      <w:r>
        <w:t xml:space="preserve"> </w:t>
      </w:r>
      <w:r>
        <w:t xml:space="preserve">of God on display in verse 18 — patient, gracious, positioned in readiness — is the theological ground of everything that follows. It should be preached as the gospel offer it is: God has not closed the door. He is standing at it.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2026-07-14T21:05:38Z</dcterms:created>
  <dcterms:modified xsi:type="dcterms:W3CDTF">2026-07-14T21:05:38Z</dcterms:modified>
</cp:coreProperties>
</file>

<file path=docProps/custom.xml><?xml version="1.0" encoding="utf-8"?>
<Properties xmlns="http://schemas.openxmlformats.org/officeDocument/2006/custom-properties" xmlns:vt="http://schemas.openxmlformats.org/officeDocument/2006/docPropsVTypes"/>
</file>